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5A" w:rsidRPr="003F0264" w:rsidRDefault="00891D5A">
      <w:pPr>
        <w:rPr>
          <w:b/>
          <w:sz w:val="24"/>
          <w:szCs w:val="24"/>
        </w:rPr>
      </w:pPr>
    </w:p>
    <w:p w:rsidR="00891D5A" w:rsidRPr="008024BB" w:rsidRDefault="00891D5A" w:rsidP="00891D5A">
      <w:pPr>
        <w:spacing w:before="120" w:after="120" w:line="240" w:lineRule="auto"/>
        <w:outlineLvl w:val="2"/>
        <w:rPr>
          <w:rFonts w:ascii="Arial" w:eastAsia="Times New Roman" w:hAnsi="Arial" w:cs="Arial"/>
          <w:b/>
          <w:color w:val="92D050"/>
          <w:sz w:val="36"/>
          <w:szCs w:val="36"/>
          <w:lang w:val="en" w:eastAsia="en-GB"/>
        </w:rPr>
      </w:pPr>
      <w:r w:rsidRPr="008024BB">
        <w:rPr>
          <w:rFonts w:ascii="Arial" w:eastAsia="Times New Roman" w:hAnsi="Arial" w:cs="Arial"/>
          <w:b/>
          <w:color w:val="92D050"/>
          <w:sz w:val="36"/>
          <w:szCs w:val="36"/>
          <w:lang w:val="en" w:eastAsia="en-GB"/>
        </w:rPr>
        <w:t>Dynamic Purchasing System (DPS) for Professional Consultancy Services</w:t>
      </w:r>
      <w:r w:rsidR="007232EF">
        <w:rPr>
          <w:rFonts w:ascii="Arial" w:eastAsia="Times New Roman" w:hAnsi="Arial" w:cs="Arial"/>
          <w:b/>
          <w:color w:val="92D050"/>
          <w:sz w:val="36"/>
          <w:szCs w:val="36"/>
          <w:lang w:val="en" w:eastAsia="en-GB"/>
        </w:rPr>
        <w:t xml:space="preserve"> </w:t>
      </w:r>
      <w:r w:rsidR="006C7369">
        <w:rPr>
          <w:rFonts w:ascii="Arial" w:eastAsia="Times New Roman" w:hAnsi="Arial" w:cs="Arial"/>
          <w:b/>
          <w:color w:val="92D050"/>
          <w:sz w:val="36"/>
          <w:szCs w:val="36"/>
          <w:lang w:val="en" w:eastAsia="en-GB"/>
        </w:rPr>
        <w:t>(56 Lots)</w:t>
      </w:r>
    </w:p>
    <w:p w:rsidR="00650DEA" w:rsidRPr="008746B3" w:rsidRDefault="00891D5A" w:rsidP="00650DEA">
      <w:pPr>
        <w:spacing w:before="240" w:after="240" w:line="379" w:lineRule="atLeast"/>
        <w:jc w:val="both"/>
        <w:rPr>
          <w:rFonts w:ascii="Arial" w:eastAsia="Times New Roman" w:hAnsi="Arial" w:cs="Arial"/>
          <w:color w:val="444444"/>
          <w:lang w:val="en" w:eastAsia="en-GB"/>
        </w:rPr>
      </w:pPr>
      <w:r w:rsidRPr="00891D5A">
        <w:rPr>
          <w:rFonts w:ascii="Arial" w:eastAsia="Times New Roman" w:hAnsi="Arial" w:cs="Arial"/>
          <w:color w:val="444444"/>
          <w:lang w:val="en" w:eastAsia="en-GB"/>
        </w:rPr>
        <w:t>We would like to invite you to join our Dynamic Purchasing System (DPS) which will provide a database of</w:t>
      </w:r>
      <w:r w:rsidR="00816D50">
        <w:rPr>
          <w:rFonts w:ascii="Arial" w:eastAsia="Times New Roman" w:hAnsi="Arial" w:cs="Arial"/>
          <w:color w:val="444444"/>
          <w:lang w:val="en" w:eastAsia="en-GB"/>
        </w:rPr>
        <w:t xml:space="preserve"> approved p</w:t>
      </w:r>
      <w:r w:rsidRPr="00891D5A">
        <w:rPr>
          <w:rFonts w:ascii="Arial" w:eastAsia="Times New Roman" w:hAnsi="Arial" w:cs="Arial"/>
          <w:color w:val="444444"/>
          <w:lang w:val="en" w:eastAsia="en-GB"/>
        </w:rPr>
        <w:t>roviders considered capable of carrying out professional consultancy services to a satisfactory standard.  The Council</w:t>
      </w:r>
      <w:r w:rsidR="00E204BB">
        <w:rPr>
          <w:rFonts w:ascii="Arial" w:eastAsia="Times New Roman" w:hAnsi="Arial" w:cs="Arial"/>
          <w:color w:val="444444"/>
          <w:lang w:val="en" w:eastAsia="en-GB"/>
        </w:rPr>
        <w:t xml:space="preserve"> and </w:t>
      </w:r>
      <w:r w:rsidR="00816D50">
        <w:rPr>
          <w:rFonts w:ascii="Arial" w:eastAsia="Times New Roman" w:hAnsi="Arial" w:cs="Arial"/>
          <w:color w:val="444444"/>
          <w:lang w:val="en" w:eastAsia="en-GB"/>
        </w:rPr>
        <w:t xml:space="preserve">its </w:t>
      </w:r>
      <w:r w:rsidR="00E204BB">
        <w:rPr>
          <w:rFonts w:ascii="Arial" w:eastAsia="Times New Roman" w:hAnsi="Arial" w:cs="Arial"/>
          <w:color w:val="444444"/>
          <w:lang w:val="en" w:eastAsia="en-GB"/>
        </w:rPr>
        <w:t>partners</w:t>
      </w:r>
      <w:r w:rsidRPr="00891D5A">
        <w:rPr>
          <w:rFonts w:ascii="Arial" w:eastAsia="Times New Roman" w:hAnsi="Arial" w:cs="Arial"/>
          <w:color w:val="444444"/>
          <w:lang w:val="en" w:eastAsia="en-GB"/>
        </w:rPr>
        <w:t xml:space="preserve"> may undertake a wide range of property, asset and engineering related feasibilities, viabilities, assessments, maintenance, alterations, refurbishment and new build developments t</w:t>
      </w:r>
      <w:r w:rsidR="00816D50">
        <w:rPr>
          <w:rFonts w:ascii="Arial" w:eastAsia="Times New Roman" w:hAnsi="Arial" w:cs="Arial"/>
          <w:color w:val="444444"/>
          <w:lang w:val="en" w:eastAsia="en-GB"/>
        </w:rPr>
        <w:t>hroughout many sectors such as residential, e</w:t>
      </w:r>
      <w:r w:rsidRPr="00891D5A">
        <w:rPr>
          <w:rFonts w:ascii="Arial" w:eastAsia="Times New Roman" w:hAnsi="Arial" w:cs="Arial"/>
          <w:color w:val="444444"/>
          <w:lang w:val="en" w:eastAsia="en-GB"/>
        </w:rPr>
        <w:t>ducati</w:t>
      </w:r>
      <w:r w:rsidR="00816D50">
        <w:rPr>
          <w:rFonts w:ascii="Arial" w:eastAsia="Times New Roman" w:hAnsi="Arial" w:cs="Arial"/>
          <w:color w:val="444444"/>
          <w:lang w:val="en" w:eastAsia="en-GB"/>
        </w:rPr>
        <w:t>on, commercial, industrial, h</w:t>
      </w:r>
      <w:r w:rsidRPr="00891D5A">
        <w:rPr>
          <w:rFonts w:ascii="Arial" w:eastAsia="Times New Roman" w:hAnsi="Arial" w:cs="Arial"/>
          <w:color w:val="444444"/>
          <w:lang w:val="en" w:eastAsia="en-GB"/>
        </w:rPr>
        <w:t>ighways</w:t>
      </w:r>
      <w:r w:rsidR="00816D50">
        <w:rPr>
          <w:rFonts w:ascii="Arial" w:eastAsia="Times New Roman" w:hAnsi="Arial" w:cs="Arial"/>
          <w:color w:val="444444"/>
          <w:lang w:val="en" w:eastAsia="en-GB"/>
        </w:rPr>
        <w:t xml:space="preserve"> and l</w:t>
      </w:r>
      <w:r w:rsidR="00650DEA">
        <w:rPr>
          <w:rFonts w:ascii="Arial" w:eastAsia="Times New Roman" w:hAnsi="Arial" w:cs="Arial"/>
          <w:color w:val="444444"/>
          <w:lang w:val="en" w:eastAsia="en-GB"/>
        </w:rPr>
        <w:t>eisure</w:t>
      </w:r>
      <w:r w:rsidRPr="00891D5A">
        <w:rPr>
          <w:rFonts w:ascii="Arial" w:eastAsia="Times New Roman" w:hAnsi="Arial" w:cs="Arial"/>
          <w:color w:val="444444"/>
          <w:lang w:val="en" w:eastAsia="en-GB"/>
        </w:rPr>
        <w:t xml:space="preserve"> and as such may require consultancy services to support this.</w:t>
      </w:r>
      <w:r w:rsidR="00650DEA">
        <w:rPr>
          <w:rFonts w:ascii="Arial" w:eastAsia="Times New Roman" w:hAnsi="Arial" w:cs="Arial"/>
          <w:color w:val="444444"/>
          <w:lang w:val="en" w:eastAsia="en-GB"/>
        </w:rPr>
        <w:t xml:space="preserve">  </w:t>
      </w:r>
      <w:r w:rsidR="00650DEA" w:rsidRPr="008746B3">
        <w:rPr>
          <w:rFonts w:ascii="Arial" w:eastAsia="Times New Roman" w:hAnsi="Arial" w:cs="Arial"/>
          <w:color w:val="444444"/>
          <w:lang w:val="en" w:eastAsia="en-GB"/>
        </w:rPr>
        <w:t>The objective is to source a greater range of provision; a wider choice of providers (including</w:t>
      </w:r>
      <w:r w:rsidR="00650DEA">
        <w:rPr>
          <w:rFonts w:ascii="Arial" w:eastAsia="Times New Roman" w:hAnsi="Arial" w:cs="Arial"/>
          <w:color w:val="444444"/>
          <w:lang w:val="en" w:eastAsia="en-GB"/>
        </w:rPr>
        <w:t xml:space="preserve"> small and medium enterprises) </w:t>
      </w:r>
      <w:r w:rsidR="00650DEA" w:rsidRPr="008746B3">
        <w:rPr>
          <w:rFonts w:ascii="Arial" w:eastAsia="Times New Roman" w:hAnsi="Arial" w:cs="Arial"/>
          <w:color w:val="444444"/>
          <w:lang w:val="en" w:eastAsia="en-GB"/>
        </w:rPr>
        <w:t xml:space="preserve">in a quicker and more efficient way. </w:t>
      </w:r>
    </w:p>
    <w:p w:rsidR="00891D5A" w:rsidRPr="00891D5A" w:rsidRDefault="00891D5A" w:rsidP="0078608B">
      <w:pPr>
        <w:spacing w:before="240" w:after="240" w:line="379" w:lineRule="atLeast"/>
        <w:jc w:val="both"/>
        <w:rPr>
          <w:rFonts w:ascii="Arial" w:eastAsia="Times New Roman" w:hAnsi="Arial" w:cs="Arial"/>
          <w:color w:val="444444"/>
          <w:lang w:val="en" w:eastAsia="en-GB"/>
        </w:rPr>
      </w:pPr>
      <w:r w:rsidRPr="00891D5A">
        <w:rPr>
          <w:rFonts w:ascii="Arial" w:eastAsia="Times New Roman" w:hAnsi="Arial" w:cs="Arial"/>
          <w:color w:val="444444"/>
          <w:lang w:val="en" w:eastAsia="en-GB"/>
        </w:rPr>
        <w:t xml:space="preserve">The DPS is a two-stage process: </w:t>
      </w:r>
    </w:p>
    <w:p w:rsidR="00A0746C" w:rsidRDefault="00891D5A" w:rsidP="0078608B">
      <w:pPr>
        <w:spacing w:before="240" w:after="240" w:line="379" w:lineRule="atLeast"/>
        <w:jc w:val="both"/>
        <w:rPr>
          <w:rFonts w:ascii="Arial" w:eastAsia="Times New Roman" w:hAnsi="Arial" w:cs="Arial"/>
          <w:color w:val="444444"/>
          <w:lang w:val="en" w:eastAsia="en-GB"/>
        </w:rPr>
      </w:pPr>
      <w:r w:rsidRPr="00891D5A">
        <w:rPr>
          <w:rFonts w:ascii="Arial" w:eastAsia="Times New Roman" w:hAnsi="Arial" w:cs="Arial"/>
          <w:b/>
          <w:bCs/>
          <w:color w:val="444444"/>
          <w:lang w:val="en" w:eastAsia="en-GB"/>
        </w:rPr>
        <w:t>Stage 1</w:t>
      </w:r>
      <w:r w:rsidRPr="00891D5A">
        <w:rPr>
          <w:rFonts w:ascii="Arial" w:eastAsia="Times New Roman" w:hAnsi="Arial" w:cs="Arial"/>
          <w:color w:val="444444"/>
          <w:lang w:val="en" w:eastAsia="en-GB"/>
        </w:rPr>
        <w:t xml:space="preserve"> </w:t>
      </w:r>
    </w:p>
    <w:p w:rsidR="00A00E60" w:rsidRDefault="00891D5A" w:rsidP="0078608B">
      <w:pPr>
        <w:spacing w:before="240" w:after="240" w:line="379" w:lineRule="atLeast"/>
        <w:jc w:val="both"/>
        <w:rPr>
          <w:rFonts w:ascii="Arial" w:eastAsia="Times New Roman" w:hAnsi="Arial" w:cs="Arial"/>
          <w:color w:val="444444"/>
          <w:lang w:val="en" w:eastAsia="en-GB"/>
        </w:rPr>
      </w:pPr>
      <w:r w:rsidRPr="00891D5A">
        <w:rPr>
          <w:rFonts w:ascii="Arial" w:eastAsia="Times New Roman" w:hAnsi="Arial" w:cs="Arial"/>
          <w:color w:val="444444"/>
          <w:lang w:val="en" w:eastAsia="en-GB"/>
        </w:rPr>
        <w:t xml:space="preserve">In the initial setup stage, all providers who meet the selection criteria and are not excluded will be </w:t>
      </w:r>
      <w:r w:rsidR="0078608B">
        <w:rPr>
          <w:rFonts w:ascii="Arial" w:eastAsia="Times New Roman" w:hAnsi="Arial" w:cs="Arial"/>
          <w:color w:val="444444"/>
          <w:lang w:val="en" w:eastAsia="en-GB"/>
        </w:rPr>
        <w:t xml:space="preserve">admitted to the DPS. There is </w:t>
      </w:r>
      <w:r w:rsidRPr="00891D5A">
        <w:rPr>
          <w:rFonts w:ascii="Arial" w:eastAsia="Times New Roman" w:hAnsi="Arial" w:cs="Arial"/>
          <w:color w:val="444444"/>
          <w:lang w:val="en" w:eastAsia="en-GB"/>
        </w:rPr>
        <w:t>no limit on the number</w:t>
      </w:r>
      <w:r>
        <w:rPr>
          <w:rFonts w:ascii="Arial" w:eastAsia="Times New Roman" w:hAnsi="Arial" w:cs="Arial"/>
          <w:color w:val="444444"/>
          <w:lang w:val="en" w:eastAsia="en-GB"/>
        </w:rPr>
        <w:t xml:space="preserve"> </w:t>
      </w:r>
      <w:r w:rsidRPr="00891D5A">
        <w:rPr>
          <w:rFonts w:ascii="Arial" w:eastAsia="Times New Roman" w:hAnsi="Arial" w:cs="Arial"/>
          <w:color w:val="444444"/>
          <w:lang w:val="en" w:eastAsia="en-GB"/>
        </w:rPr>
        <w:t>of providers that</w:t>
      </w:r>
      <w:r w:rsidR="002E4C81">
        <w:rPr>
          <w:rFonts w:ascii="Arial" w:eastAsia="Times New Roman" w:hAnsi="Arial" w:cs="Arial"/>
          <w:color w:val="444444"/>
          <w:lang w:val="en" w:eastAsia="en-GB"/>
        </w:rPr>
        <w:t xml:space="preserve"> may join the DPS for each Lot and n</w:t>
      </w:r>
      <w:r w:rsidRPr="00891D5A">
        <w:rPr>
          <w:rFonts w:ascii="Arial" w:eastAsia="Times New Roman" w:hAnsi="Arial" w:cs="Arial"/>
          <w:color w:val="444444"/>
          <w:lang w:val="en" w:eastAsia="en-GB"/>
        </w:rPr>
        <w:t xml:space="preserve">ew providers can apply to join the DPS at any point during its lifetime.  </w:t>
      </w:r>
      <w:r w:rsidR="002E4C81">
        <w:rPr>
          <w:rFonts w:ascii="Arial" w:eastAsia="Times New Roman" w:hAnsi="Arial" w:cs="Arial"/>
          <w:color w:val="444444"/>
          <w:lang w:val="en" w:eastAsia="en-GB"/>
        </w:rPr>
        <w:t xml:space="preserve"> </w:t>
      </w:r>
    </w:p>
    <w:p w:rsidR="002E4C81" w:rsidRDefault="002E4C81" w:rsidP="0078608B">
      <w:pPr>
        <w:spacing w:before="240" w:after="240" w:line="379" w:lineRule="atLeast"/>
        <w:jc w:val="both"/>
        <w:rPr>
          <w:rFonts w:ascii="Arial" w:eastAsia="Times New Roman" w:hAnsi="Arial" w:cs="Arial"/>
          <w:color w:val="444444"/>
          <w:lang w:val="en" w:eastAsia="en-GB"/>
        </w:rPr>
      </w:pPr>
      <w:r>
        <w:rPr>
          <w:rFonts w:ascii="Arial" w:eastAsia="Times New Roman" w:hAnsi="Arial" w:cs="Arial"/>
          <w:color w:val="444444"/>
          <w:lang w:val="en" w:eastAsia="en-GB"/>
        </w:rPr>
        <w:t xml:space="preserve">In order to join the DPS for Professional Consultancy Services please complete the application process via Delta.  </w:t>
      </w:r>
      <w:r w:rsidR="00891D5A" w:rsidRPr="00891D5A">
        <w:rPr>
          <w:rFonts w:ascii="Arial" w:eastAsia="Times New Roman" w:hAnsi="Arial" w:cs="Arial"/>
          <w:color w:val="444444"/>
          <w:lang w:val="en" w:eastAsia="en-GB"/>
        </w:rPr>
        <w:t xml:space="preserve">The documents are available on the </w:t>
      </w:r>
      <w:hyperlink r:id="rId7" w:tooltip="Visit the Delta website" w:history="1">
        <w:r w:rsidR="00891D5A" w:rsidRPr="00891D5A">
          <w:rPr>
            <w:rFonts w:ascii="Arial" w:eastAsia="Times New Roman" w:hAnsi="Arial" w:cs="Arial"/>
            <w:color w:val="CB1443"/>
            <w:lang w:val="en" w:eastAsia="en-GB"/>
          </w:rPr>
          <w:t>Delta website</w:t>
        </w:r>
      </w:hyperlink>
      <w:r w:rsidR="00891D5A" w:rsidRPr="00891D5A">
        <w:rPr>
          <w:rFonts w:ascii="Arial" w:eastAsia="Times New Roman" w:hAnsi="Arial" w:cs="Arial"/>
          <w:color w:val="444444"/>
          <w:lang w:val="en" w:eastAsia="en-GB"/>
        </w:rPr>
        <w:t xml:space="preserve"> and you must register on </w:t>
      </w:r>
      <w:r>
        <w:rPr>
          <w:rFonts w:ascii="Arial" w:eastAsia="Times New Roman" w:hAnsi="Arial" w:cs="Arial"/>
          <w:color w:val="444444"/>
          <w:lang w:val="en" w:eastAsia="en-GB"/>
        </w:rPr>
        <w:t>this site to be able to respond.</w:t>
      </w:r>
      <w:r w:rsidR="000627BD">
        <w:rPr>
          <w:rFonts w:ascii="Arial" w:eastAsia="Times New Roman" w:hAnsi="Arial" w:cs="Arial"/>
          <w:color w:val="444444"/>
          <w:lang w:val="en" w:eastAsia="en-GB"/>
        </w:rPr>
        <w:t xml:space="preserve">  To ensure you receive and always </w:t>
      </w:r>
      <w:r w:rsidR="0052180A">
        <w:rPr>
          <w:rFonts w:ascii="Arial" w:eastAsia="Times New Roman" w:hAnsi="Arial" w:cs="Arial"/>
          <w:color w:val="444444"/>
          <w:lang w:val="en" w:eastAsia="en-GB"/>
        </w:rPr>
        <w:t>have full access to the documentation</w:t>
      </w:r>
      <w:r w:rsidR="000627BD">
        <w:rPr>
          <w:rFonts w:ascii="Arial" w:eastAsia="Times New Roman" w:hAnsi="Arial" w:cs="Arial"/>
          <w:color w:val="444444"/>
          <w:lang w:val="en" w:eastAsia="en-GB"/>
        </w:rPr>
        <w:t xml:space="preserve"> from Delta, </w:t>
      </w:r>
      <w:r w:rsidR="0052180A">
        <w:rPr>
          <w:rFonts w:ascii="Arial" w:eastAsia="Times New Roman" w:hAnsi="Arial" w:cs="Arial"/>
          <w:color w:val="444444"/>
          <w:lang w:val="en" w:eastAsia="en-GB"/>
        </w:rPr>
        <w:t>you may find it beneficial</w:t>
      </w:r>
      <w:r w:rsidR="000627BD">
        <w:rPr>
          <w:rFonts w:ascii="Arial" w:eastAsia="Times New Roman" w:hAnsi="Arial" w:cs="Arial"/>
          <w:color w:val="444444"/>
          <w:lang w:val="en" w:eastAsia="en-GB"/>
        </w:rPr>
        <w:t xml:space="preserve"> to register using a shared mailbox.  </w:t>
      </w:r>
      <w:r>
        <w:rPr>
          <w:rFonts w:ascii="Arial" w:eastAsia="Times New Roman" w:hAnsi="Arial" w:cs="Arial"/>
          <w:color w:val="444444"/>
          <w:lang w:val="en" w:eastAsia="en-GB"/>
        </w:rPr>
        <w:t xml:space="preserve">Please </w:t>
      </w:r>
      <w:r w:rsidR="00891D5A" w:rsidRPr="00891D5A">
        <w:rPr>
          <w:rFonts w:ascii="Arial" w:eastAsia="Times New Roman" w:hAnsi="Arial" w:cs="Arial"/>
          <w:color w:val="444444"/>
          <w:lang w:val="en" w:eastAsia="en-GB"/>
        </w:rPr>
        <w:t>log in</w:t>
      </w:r>
      <w:r>
        <w:rPr>
          <w:rFonts w:ascii="Arial" w:eastAsia="Times New Roman" w:hAnsi="Arial" w:cs="Arial"/>
          <w:color w:val="444444"/>
          <w:lang w:val="en" w:eastAsia="en-GB"/>
        </w:rPr>
        <w:t xml:space="preserve"> to Delta</w:t>
      </w:r>
      <w:r w:rsidR="00891D5A" w:rsidRPr="00891D5A">
        <w:rPr>
          <w:rFonts w:ascii="Arial" w:eastAsia="Times New Roman" w:hAnsi="Arial" w:cs="Arial"/>
          <w:color w:val="444444"/>
          <w:lang w:val="en" w:eastAsia="en-GB"/>
        </w:rPr>
        <w:t xml:space="preserve"> and add the Tender Access Code </w:t>
      </w:r>
      <w:r w:rsidR="00891D5A" w:rsidRPr="00891D5A">
        <w:rPr>
          <w:rFonts w:ascii="Arial" w:eastAsia="Times New Roman" w:hAnsi="Arial" w:cs="Arial"/>
          <w:b/>
          <w:bCs/>
          <w:color w:val="444444"/>
          <w:lang w:val="en" w:eastAsia="en-GB"/>
        </w:rPr>
        <w:t>574R44MC4Z</w:t>
      </w:r>
      <w:r w:rsidR="00891D5A" w:rsidRPr="00891D5A">
        <w:rPr>
          <w:rFonts w:ascii="Arial" w:eastAsia="Times New Roman" w:hAnsi="Arial" w:cs="Arial"/>
          <w:color w:val="444444"/>
          <w:lang w:val="en" w:eastAsia="en-GB"/>
        </w:rPr>
        <w:t>.</w:t>
      </w:r>
      <w:r w:rsidR="005E79FF">
        <w:rPr>
          <w:rFonts w:ascii="Arial" w:eastAsia="Times New Roman" w:hAnsi="Arial" w:cs="Arial"/>
          <w:color w:val="444444"/>
          <w:lang w:val="en" w:eastAsia="en-GB"/>
        </w:rPr>
        <w:t xml:space="preserve"> </w:t>
      </w:r>
      <w:r w:rsidR="00376DD0">
        <w:rPr>
          <w:rFonts w:ascii="Arial" w:eastAsia="Times New Roman" w:hAnsi="Arial" w:cs="Arial"/>
          <w:color w:val="444444"/>
          <w:lang w:val="en" w:eastAsia="en-GB"/>
        </w:rPr>
        <w:t xml:space="preserve">  </w:t>
      </w:r>
    </w:p>
    <w:p w:rsidR="006C7369" w:rsidRDefault="00376DD0" w:rsidP="00A0746C">
      <w:pPr>
        <w:spacing w:before="240" w:after="240" w:line="379" w:lineRule="atLeast"/>
        <w:jc w:val="both"/>
        <w:rPr>
          <w:rFonts w:ascii="Helvetica" w:hAnsi="Helvetica" w:cs="Arial"/>
          <w:color w:val="444444"/>
          <w:lang w:val="en"/>
        </w:rPr>
      </w:pPr>
      <w:r>
        <w:rPr>
          <w:rFonts w:ascii="Helvetica" w:hAnsi="Helvetica" w:cs="Arial"/>
          <w:color w:val="444444"/>
          <w:lang w:val="en"/>
        </w:rPr>
        <w:t xml:space="preserve">You may submit a questionnaire response at any time during the validity of the DPS (March 2019 </w:t>
      </w:r>
      <w:r w:rsidR="006C7369">
        <w:rPr>
          <w:rFonts w:ascii="Helvetica" w:hAnsi="Helvetica" w:cs="Arial"/>
          <w:color w:val="444444"/>
          <w:lang w:val="en"/>
        </w:rPr>
        <w:t>–</w:t>
      </w:r>
      <w:r>
        <w:rPr>
          <w:rFonts w:ascii="Helvetica" w:hAnsi="Helvetica" w:cs="Arial"/>
          <w:color w:val="444444"/>
          <w:lang w:val="en"/>
        </w:rPr>
        <w:t xml:space="preserve"> </w:t>
      </w:r>
      <w:r w:rsidR="006C7369">
        <w:rPr>
          <w:rFonts w:ascii="Helvetica" w:hAnsi="Helvetica" w:cs="Arial"/>
          <w:color w:val="444444"/>
          <w:lang w:val="en"/>
        </w:rPr>
        <w:t xml:space="preserve">15 April </w:t>
      </w:r>
      <w:r>
        <w:rPr>
          <w:rFonts w:ascii="Helvetica" w:hAnsi="Helvetica" w:cs="Arial"/>
          <w:color w:val="444444"/>
          <w:lang w:val="en"/>
        </w:rPr>
        <w:t>2023) and may re-submit at any time e.g. for additional Lots or to update information.</w:t>
      </w:r>
      <w:r w:rsidR="006C7369">
        <w:rPr>
          <w:rFonts w:ascii="Helvetica" w:hAnsi="Helvetica" w:cs="Arial"/>
          <w:color w:val="444444"/>
          <w:lang w:val="en"/>
        </w:rPr>
        <w:t xml:space="preserve">  If you experience any technical difficulties please contact the Delta eSourcing Helpdesk on 08452 707050 or email </w:t>
      </w:r>
      <w:hyperlink r:id="rId8" w:history="1">
        <w:r w:rsidR="006C7369" w:rsidRPr="007E17B3">
          <w:rPr>
            <w:rStyle w:val="Hyperlink"/>
            <w:rFonts w:ascii="Helvetica" w:hAnsi="Helvetica" w:cs="Arial"/>
            <w:lang w:val="en"/>
          </w:rPr>
          <w:t>helpdesk@delta-esourcing.com</w:t>
        </w:r>
      </w:hyperlink>
      <w:r w:rsidR="006C7369">
        <w:rPr>
          <w:rFonts w:ascii="Helvetica" w:hAnsi="Helvetica" w:cs="Arial"/>
          <w:color w:val="444444"/>
          <w:lang w:val="en"/>
        </w:rPr>
        <w:t>.</w:t>
      </w:r>
    </w:p>
    <w:p w:rsidR="00922C73" w:rsidRDefault="00922C73" w:rsidP="00A0746C">
      <w:pPr>
        <w:spacing w:before="240" w:after="240" w:line="379" w:lineRule="atLeast"/>
        <w:jc w:val="both"/>
        <w:rPr>
          <w:rFonts w:ascii="Helvetica" w:hAnsi="Helvetica" w:cs="Arial"/>
          <w:color w:val="444444"/>
          <w:lang w:val="en"/>
        </w:rPr>
      </w:pPr>
    </w:p>
    <w:tbl>
      <w:tblPr>
        <w:tblW w:w="9072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7324"/>
      </w:tblGrid>
      <w:tr w:rsidR="00922C73" w:rsidTr="00922C73">
        <w:tc>
          <w:tcPr>
            <w:tcW w:w="17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3333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Lot</w:t>
            </w:r>
          </w:p>
        </w:tc>
        <w:tc>
          <w:tcPr>
            <w:tcW w:w="732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3333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Quantity Surveyor Buildings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Quantity Surveyor Civils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Architectural Services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Management Building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Management Civils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Building Services Engineers/ MEP Design Services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of Works (Building)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of Works (Mechanical &amp; Electrical)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Consultant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Civil and Structural Engineering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Ecology Services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Landscape Architects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Fire Safety/ Engineering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Building Surveyor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Condition Surveys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Archaeology Services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Party Wall Surveyor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Ground Based Scanning &amp; Reality Capture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Drone Services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Flood Risk Assessments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Geotechnical Desk Studies / Geotechnical Ground Investigations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Topographical Surveys/ Utilities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Coal Mining Risk Assessments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Contaminated Land Assessment (Tiers 1 &amp; 2)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Land Stability Assessments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Transport Assessments / Statements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Foul Sewer &amp; Utilities Surveys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CDM / Principal Designer Services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Highway Design/ Engineering/ Modelling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Highways Consultancy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Building Control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Conservation Services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 Lighting Design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Highways Testing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Lifecycle Planning and Deterioration Modelling (Civils)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Traffic Signal Design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Noise Assessments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 Quality Assessments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Landscape Visual Impact Assessments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Arboricultural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Surveys and Impact Assessments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Lighting Assessments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Measured Building Surveys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SAP/SBEM/Energy Consultants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 Tests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 P Electrical Checking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HETAS/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Oftec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 Sports Pitch Design/Soil Analysis Consultants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Valuation Advice &amp; Asset Valuations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Marketing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Development and Investment Advice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Property Management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 Housing Advice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Disposal and Acquisition of Land and Property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 Energy Solutions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 Demand Advice</w:t>
            </w:r>
          </w:p>
        </w:tc>
      </w:tr>
      <w:tr w:rsidR="00922C73" w:rsidTr="00922C73">
        <w:tc>
          <w:tcPr>
            <w:tcW w:w="17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C73" w:rsidRDefault="00922C7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Ancillary Services (incl. Multidisciplinary Team)</w:t>
            </w:r>
          </w:p>
        </w:tc>
      </w:tr>
    </w:tbl>
    <w:p w:rsidR="00922C73" w:rsidRDefault="00922C73" w:rsidP="00A0746C">
      <w:pPr>
        <w:spacing w:before="240" w:after="240" w:line="379" w:lineRule="atLeast"/>
        <w:jc w:val="both"/>
        <w:rPr>
          <w:rFonts w:ascii="Helvetica" w:hAnsi="Helvetica" w:cs="Arial"/>
          <w:color w:val="444444"/>
          <w:lang w:val="en"/>
        </w:rPr>
      </w:pPr>
    </w:p>
    <w:p w:rsidR="00A0746C" w:rsidRPr="008746B3" w:rsidRDefault="00A0746C" w:rsidP="00A0746C">
      <w:pPr>
        <w:spacing w:before="240" w:after="240" w:line="379" w:lineRule="atLeast"/>
        <w:jc w:val="both"/>
        <w:rPr>
          <w:rFonts w:ascii="Arial" w:eastAsia="Times New Roman" w:hAnsi="Arial" w:cs="Arial"/>
          <w:color w:val="444444"/>
          <w:lang w:val="en" w:eastAsia="en-GB"/>
        </w:rPr>
      </w:pPr>
      <w:r w:rsidRPr="008746B3">
        <w:rPr>
          <w:rFonts w:ascii="Arial" w:eastAsia="Times New Roman" w:hAnsi="Arial" w:cs="Arial"/>
          <w:b/>
          <w:bCs/>
          <w:color w:val="444444"/>
          <w:lang w:val="en" w:eastAsia="en-GB"/>
        </w:rPr>
        <w:t xml:space="preserve">Stage 2 </w:t>
      </w:r>
    </w:p>
    <w:p w:rsidR="00376DD0" w:rsidRDefault="00A0746C" w:rsidP="00A0746C">
      <w:pPr>
        <w:spacing w:before="240" w:after="240" w:line="379" w:lineRule="atLeast"/>
        <w:jc w:val="both"/>
        <w:rPr>
          <w:rFonts w:ascii="Arial" w:eastAsia="Times New Roman" w:hAnsi="Arial" w:cs="Arial"/>
          <w:color w:val="444444"/>
          <w:lang w:val="en" w:eastAsia="en-GB"/>
        </w:rPr>
      </w:pPr>
      <w:r w:rsidRPr="008746B3">
        <w:rPr>
          <w:rFonts w:ascii="Arial" w:eastAsia="Times New Roman" w:hAnsi="Arial" w:cs="Arial"/>
          <w:color w:val="444444"/>
          <w:lang w:val="en" w:eastAsia="en-GB"/>
        </w:rPr>
        <w:lastRenderedPageBreak/>
        <w:t>Individual contracts are awarded during the second stage. In this stage all providers admitted to the DPS for the Lot required can bid for a specific contract.</w:t>
      </w:r>
    </w:p>
    <w:p w:rsidR="00863A8E" w:rsidRPr="00922C73" w:rsidRDefault="00863A8E" w:rsidP="00A0746C">
      <w:pPr>
        <w:spacing w:before="240" w:after="240" w:line="379" w:lineRule="atLeast"/>
        <w:jc w:val="both"/>
        <w:rPr>
          <w:rFonts w:ascii="Arial" w:eastAsia="Times New Roman" w:hAnsi="Arial" w:cs="Arial"/>
          <w:b/>
          <w:color w:val="444444"/>
          <w:lang w:val="en" w:eastAsia="en-GB"/>
        </w:rPr>
      </w:pPr>
      <w:r w:rsidRPr="00922C73">
        <w:rPr>
          <w:rFonts w:ascii="Arial" w:eastAsia="Times New Roman" w:hAnsi="Arial" w:cs="Arial"/>
          <w:b/>
          <w:color w:val="444444"/>
          <w:lang w:val="en" w:eastAsia="en-GB"/>
        </w:rPr>
        <w:t>Criteria</w:t>
      </w:r>
    </w:p>
    <w:tbl>
      <w:tblPr>
        <w:tblW w:w="8260" w:type="dxa"/>
        <w:tblLook w:val="04A0" w:firstRow="1" w:lastRow="0" w:firstColumn="1" w:lastColumn="0" w:noHBand="0" w:noVBand="1"/>
      </w:tblPr>
      <w:tblGrid>
        <w:gridCol w:w="1440"/>
        <w:gridCol w:w="1863"/>
        <w:gridCol w:w="2102"/>
        <w:gridCol w:w="1768"/>
        <w:gridCol w:w="1087"/>
      </w:tblGrid>
      <w:tr w:rsidR="00863A8E" w:rsidRPr="00863A8E" w:rsidTr="00863A8E">
        <w:trPr>
          <w:trHeight w:val="12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863A8E" w:rsidRPr="00863A8E" w:rsidRDefault="00863A8E" w:rsidP="00863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63A8E">
              <w:rPr>
                <w:rFonts w:ascii="Calibri" w:eastAsia="Times New Roman" w:hAnsi="Calibri" w:cs="Calibri"/>
                <w:b/>
                <w:bCs/>
                <w:lang w:eastAsia="en-GB"/>
              </w:rPr>
              <w:t>Audited accounts available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863A8E" w:rsidRPr="00863A8E" w:rsidRDefault="00863A8E" w:rsidP="00863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Employer Insurance  £5m</w:t>
            </w:r>
            <w:r w:rsidRPr="00863A8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863A8E" w:rsidRPr="00863A8E" w:rsidRDefault="00863A8E" w:rsidP="00863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63A8E">
              <w:rPr>
                <w:rFonts w:ascii="Calibri" w:eastAsia="Times New Roman" w:hAnsi="Calibri" w:cs="Calibri"/>
                <w:b/>
                <w:bCs/>
                <w:lang w:eastAsia="en-GB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rofessional Insurance £1m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863A8E" w:rsidRPr="00863A8E" w:rsidRDefault="00863A8E" w:rsidP="00863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Public Insurance £1m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863A8E" w:rsidRPr="00863A8E" w:rsidRDefault="00863A8E" w:rsidP="00863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63A8E">
              <w:rPr>
                <w:rFonts w:ascii="Calibri" w:eastAsia="Times New Roman" w:hAnsi="Calibri" w:cs="Calibri"/>
                <w:b/>
                <w:bCs/>
                <w:lang w:eastAsia="en-GB"/>
              </w:rPr>
              <w:t>Contract examples provided</w:t>
            </w:r>
          </w:p>
        </w:tc>
      </w:tr>
    </w:tbl>
    <w:p w:rsidR="00863A8E" w:rsidRDefault="00863A8E" w:rsidP="00A0746C">
      <w:pPr>
        <w:spacing w:before="240" w:after="240" w:line="379" w:lineRule="atLeast"/>
        <w:jc w:val="both"/>
        <w:rPr>
          <w:rFonts w:ascii="Arial" w:eastAsia="Times New Roman" w:hAnsi="Arial" w:cs="Arial"/>
          <w:color w:val="444444"/>
          <w:lang w:val="en" w:eastAsia="en-GB"/>
        </w:rPr>
      </w:pPr>
    </w:p>
    <w:p w:rsidR="00863A8E" w:rsidRDefault="00863A8E" w:rsidP="00A0746C">
      <w:pPr>
        <w:spacing w:before="240" w:after="240" w:line="379" w:lineRule="atLeast"/>
        <w:jc w:val="both"/>
        <w:rPr>
          <w:rFonts w:ascii="Arial" w:eastAsia="Times New Roman" w:hAnsi="Arial" w:cs="Arial"/>
          <w:color w:val="444444"/>
          <w:lang w:val="en" w:eastAsia="en-GB"/>
        </w:rPr>
      </w:pPr>
    </w:p>
    <w:p w:rsidR="00863A8E" w:rsidRDefault="00863A8E" w:rsidP="00A0746C">
      <w:pPr>
        <w:spacing w:before="240" w:after="240" w:line="379" w:lineRule="atLeast"/>
        <w:jc w:val="both"/>
        <w:rPr>
          <w:rFonts w:ascii="Arial" w:eastAsia="Times New Roman" w:hAnsi="Arial" w:cs="Arial"/>
          <w:color w:val="444444"/>
          <w:lang w:val="en" w:eastAsia="en-GB"/>
        </w:rPr>
      </w:pPr>
    </w:p>
    <w:p w:rsidR="00863A8E" w:rsidRDefault="00863A8E" w:rsidP="00A0746C">
      <w:pPr>
        <w:spacing w:before="240" w:after="240" w:line="379" w:lineRule="atLeast"/>
        <w:jc w:val="both"/>
        <w:rPr>
          <w:rFonts w:ascii="Arial" w:eastAsia="Times New Roman" w:hAnsi="Arial" w:cs="Arial"/>
          <w:color w:val="444444"/>
          <w:lang w:val="en" w:eastAsia="en-GB"/>
        </w:rPr>
      </w:pPr>
      <w:bookmarkStart w:id="0" w:name="_GoBack"/>
      <w:bookmarkEnd w:id="0"/>
    </w:p>
    <w:p w:rsidR="00863A8E" w:rsidRDefault="00863A8E" w:rsidP="00A0746C">
      <w:pPr>
        <w:spacing w:before="240" w:after="240" w:line="379" w:lineRule="atLeast"/>
        <w:jc w:val="both"/>
        <w:rPr>
          <w:rFonts w:ascii="Arial" w:eastAsia="Times New Roman" w:hAnsi="Arial" w:cs="Arial"/>
          <w:color w:val="444444"/>
          <w:lang w:val="en" w:eastAsia="en-GB"/>
        </w:rPr>
      </w:pPr>
    </w:p>
    <w:p w:rsidR="00863A8E" w:rsidRDefault="00863A8E" w:rsidP="00A0746C">
      <w:pPr>
        <w:spacing w:before="240" w:after="240" w:line="379" w:lineRule="atLeast"/>
        <w:jc w:val="both"/>
        <w:rPr>
          <w:rFonts w:ascii="Arial" w:eastAsia="Times New Roman" w:hAnsi="Arial" w:cs="Arial"/>
          <w:color w:val="444444"/>
          <w:lang w:val="en" w:eastAsia="en-GB"/>
        </w:rPr>
      </w:pPr>
    </w:p>
    <w:p w:rsidR="00863A8E" w:rsidRDefault="00863A8E" w:rsidP="00A0746C">
      <w:pPr>
        <w:spacing w:before="240" w:after="240" w:line="379" w:lineRule="atLeast"/>
        <w:jc w:val="both"/>
        <w:rPr>
          <w:rFonts w:ascii="Arial" w:eastAsia="Times New Roman" w:hAnsi="Arial" w:cs="Arial"/>
          <w:color w:val="444444"/>
          <w:lang w:val="en" w:eastAsia="en-GB"/>
        </w:rPr>
      </w:pPr>
    </w:p>
    <w:p w:rsidR="00863A8E" w:rsidRDefault="00863A8E" w:rsidP="00A0746C">
      <w:pPr>
        <w:spacing w:before="240" w:after="240" w:line="379" w:lineRule="atLeast"/>
        <w:jc w:val="both"/>
        <w:rPr>
          <w:rFonts w:ascii="Arial" w:eastAsia="Times New Roman" w:hAnsi="Arial" w:cs="Arial"/>
          <w:color w:val="444444"/>
          <w:lang w:val="en" w:eastAsia="en-GB"/>
        </w:rPr>
      </w:pPr>
    </w:p>
    <w:p w:rsidR="00863A8E" w:rsidRDefault="00863A8E" w:rsidP="00A0746C">
      <w:pPr>
        <w:spacing w:before="240" w:after="240" w:line="379" w:lineRule="atLeast"/>
        <w:jc w:val="both"/>
        <w:rPr>
          <w:rFonts w:ascii="Arial" w:eastAsia="Times New Roman" w:hAnsi="Arial" w:cs="Arial"/>
          <w:color w:val="444444"/>
          <w:lang w:val="en" w:eastAsia="en-GB"/>
        </w:rPr>
      </w:pPr>
    </w:p>
    <w:p w:rsidR="00863A8E" w:rsidRDefault="00863A8E" w:rsidP="00A0746C">
      <w:pPr>
        <w:spacing w:before="240" w:after="240" w:line="379" w:lineRule="atLeast"/>
        <w:jc w:val="both"/>
        <w:rPr>
          <w:rFonts w:ascii="Arial" w:eastAsia="Times New Roman" w:hAnsi="Arial" w:cs="Arial"/>
          <w:color w:val="444444"/>
          <w:lang w:val="en" w:eastAsia="en-GB"/>
        </w:rPr>
      </w:pPr>
    </w:p>
    <w:p w:rsidR="00863A8E" w:rsidRDefault="00863A8E" w:rsidP="00A0746C">
      <w:pPr>
        <w:spacing w:before="240" w:after="240" w:line="379" w:lineRule="atLeast"/>
        <w:jc w:val="both"/>
        <w:rPr>
          <w:rFonts w:ascii="Arial" w:eastAsia="Times New Roman" w:hAnsi="Arial" w:cs="Arial"/>
          <w:color w:val="444444"/>
          <w:lang w:val="en" w:eastAsia="en-GB"/>
        </w:rPr>
      </w:pPr>
    </w:p>
    <w:sectPr w:rsidR="00863A8E" w:rsidSect="006C7369">
      <w:footerReference w:type="default" r:id="rId9"/>
      <w:pgSz w:w="16838" w:h="11906" w:orient="landscape"/>
      <w:pgMar w:top="510" w:right="851" w:bottom="510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6C" w:rsidRDefault="00A0746C" w:rsidP="00A0746C">
      <w:pPr>
        <w:spacing w:after="0" w:line="240" w:lineRule="auto"/>
      </w:pPr>
      <w:r>
        <w:separator/>
      </w:r>
    </w:p>
  </w:endnote>
  <w:endnote w:type="continuationSeparator" w:id="0">
    <w:p w:rsidR="00A0746C" w:rsidRDefault="00A0746C" w:rsidP="00A0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6C" w:rsidRDefault="0089094C">
    <w:pPr>
      <w:pStyle w:val="Footer"/>
    </w:pPr>
    <w:r>
      <w:rPr>
        <w:noProof/>
        <w:lang w:eastAsia="en-GB"/>
      </w:rPr>
      <w:drawing>
        <wp:inline distT="0" distB="0" distL="0" distR="0" wp14:anchorId="4C1ADF5D" wp14:editId="3DF7C0F0">
          <wp:extent cx="2838997" cy="648646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997" cy="648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44F37FC2" wp14:editId="4C791FB9">
          <wp:extent cx="1144382" cy="828136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72" t="30315" r="23417" b="30817"/>
                  <a:stretch/>
                </pic:blipFill>
                <pic:spPr>
                  <a:xfrm>
                    <a:off x="0" y="0"/>
                    <a:ext cx="1144382" cy="82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6C" w:rsidRDefault="00A0746C" w:rsidP="00A0746C">
      <w:pPr>
        <w:spacing w:after="0" w:line="240" w:lineRule="auto"/>
      </w:pPr>
      <w:r>
        <w:separator/>
      </w:r>
    </w:p>
  </w:footnote>
  <w:footnote w:type="continuationSeparator" w:id="0">
    <w:p w:rsidR="00A0746C" w:rsidRDefault="00A0746C" w:rsidP="00A07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5A"/>
    <w:rsid w:val="000627BD"/>
    <w:rsid w:val="001719D2"/>
    <w:rsid w:val="001C32E4"/>
    <w:rsid w:val="002668C4"/>
    <w:rsid w:val="002E4C81"/>
    <w:rsid w:val="00323956"/>
    <w:rsid w:val="003355C3"/>
    <w:rsid w:val="00376DD0"/>
    <w:rsid w:val="003C045B"/>
    <w:rsid w:val="003F0264"/>
    <w:rsid w:val="004D0CC5"/>
    <w:rsid w:val="0052180A"/>
    <w:rsid w:val="005C050D"/>
    <w:rsid w:val="005E79FF"/>
    <w:rsid w:val="006043BC"/>
    <w:rsid w:val="00650DEA"/>
    <w:rsid w:val="00677493"/>
    <w:rsid w:val="006C7369"/>
    <w:rsid w:val="007232EF"/>
    <w:rsid w:val="0075308E"/>
    <w:rsid w:val="00773815"/>
    <w:rsid w:val="0078608B"/>
    <w:rsid w:val="008024BB"/>
    <w:rsid w:val="00816D50"/>
    <w:rsid w:val="00863A8E"/>
    <w:rsid w:val="00866FB9"/>
    <w:rsid w:val="008746B3"/>
    <w:rsid w:val="0089094C"/>
    <w:rsid w:val="00891D5A"/>
    <w:rsid w:val="008D2DC2"/>
    <w:rsid w:val="008D4F53"/>
    <w:rsid w:val="008E1623"/>
    <w:rsid w:val="00922C73"/>
    <w:rsid w:val="009D77F9"/>
    <w:rsid w:val="009F1572"/>
    <w:rsid w:val="00A00E60"/>
    <w:rsid w:val="00A0746C"/>
    <w:rsid w:val="00AE51B2"/>
    <w:rsid w:val="00B134F6"/>
    <w:rsid w:val="00B852AA"/>
    <w:rsid w:val="00C00D1F"/>
    <w:rsid w:val="00DA7669"/>
    <w:rsid w:val="00DD2C53"/>
    <w:rsid w:val="00E204BB"/>
    <w:rsid w:val="00EB59A3"/>
    <w:rsid w:val="00E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2424987"/>
  <w15:chartTrackingRefBased/>
  <w15:docId w15:val="{41AD3152-4952-4415-BC91-317D42D8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7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46C"/>
  </w:style>
  <w:style w:type="paragraph" w:styleId="Footer">
    <w:name w:val="footer"/>
    <w:basedOn w:val="Normal"/>
    <w:link w:val="FooterChar"/>
    <w:uiPriority w:val="99"/>
    <w:unhideWhenUsed/>
    <w:rsid w:val="00A07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46C"/>
  </w:style>
  <w:style w:type="character" w:styleId="Hyperlink">
    <w:name w:val="Hyperlink"/>
    <w:basedOn w:val="DefaultParagraphFont"/>
    <w:uiPriority w:val="99"/>
    <w:unhideWhenUsed/>
    <w:rsid w:val="006C73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4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45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6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AAAAAA"/>
                        <w:left w:val="single" w:sz="6" w:space="12" w:color="AAAAAA"/>
                        <w:bottom w:val="single" w:sz="6" w:space="12" w:color="AAAAAA"/>
                        <w:right w:val="single" w:sz="6" w:space="12" w:color="AAAAAA"/>
                      </w:divBdr>
                      <w:divsChild>
                        <w:div w:id="18907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14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22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4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AAAAAA"/>
                        <w:left w:val="single" w:sz="6" w:space="12" w:color="AAAAAA"/>
                        <w:bottom w:val="single" w:sz="6" w:space="12" w:color="AAAAAA"/>
                        <w:right w:val="single" w:sz="6" w:space="12" w:color="AAAAAA"/>
                      </w:divBdr>
                      <w:divsChild>
                        <w:div w:id="63996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18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87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2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AAAAAA"/>
                        <w:left w:val="single" w:sz="6" w:space="12" w:color="AAAAAA"/>
                        <w:bottom w:val="single" w:sz="6" w:space="12" w:color="AAAAAA"/>
                        <w:right w:val="single" w:sz="6" w:space="12" w:color="AAAAAA"/>
                      </w:divBdr>
                      <w:divsChild>
                        <w:div w:id="12976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delta-esourc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lta-esourcing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7FD18-C99A-4A23-A67D-BB54F1D5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Clare</dc:creator>
  <cp:keywords/>
  <dc:description/>
  <cp:lastModifiedBy>Lawson, Dylan</cp:lastModifiedBy>
  <cp:revision>3</cp:revision>
  <cp:lastPrinted>2020-01-20T10:16:00Z</cp:lastPrinted>
  <dcterms:created xsi:type="dcterms:W3CDTF">2020-05-07T15:01:00Z</dcterms:created>
  <dcterms:modified xsi:type="dcterms:W3CDTF">2020-09-03T09:04:00Z</dcterms:modified>
</cp:coreProperties>
</file>